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00" w:rsidRPr="00485400" w:rsidRDefault="00485400" w:rsidP="0048540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485400">
        <w:rPr>
          <w:b/>
          <w:bCs/>
          <w:color w:val="000000" w:themeColor="text1"/>
          <w:sz w:val="28"/>
          <w:szCs w:val="28"/>
        </w:rPr>
        <w:t>Информация об организации государственной итоговой аттестации по образовательным программам основного общего образования в форме ЕДИНОГО государственного экзамена и государственного выпускного экзамена (ГИА-11)</w:t>
      </w:r>
    </w:p>
    <w:tbl>
      <w:tblPr>
        <w:tblStyle w:val="a4"/>
        <w:tblpPr w:leftFromText="180" w:rightFromText="180" w:vertAnchor="text" w:horzAnchor="margin" w:tblpY="856"/>
        <w:tblW w:w="0" w:type="auto"/>
        <w:tblLook w:val="04A0"/>
      </w:tblPr>
      <w:tblGrid>
        <w:gridCol w:w="3227"/>
        <w:gridCol w:w="3153"/>
        <w:gridCol w:w="3191"/>
      </w:tblGrid>
      <w:tr w:rsidR="00485400" w:rsidTr="00176654">
        <w:tc>
          <w:tcPr>
            <w:tcW w:w="3227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>Категории участников ГИА-11</w:t>
            </w:r>
          </w:p>
        </w:tc>
        <w:tc>
          <w:tcPr>
            <w:tcW w:w="3153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>Срок подачи заявления</w:t>
            </w:r>
          </w:p>
        </w:tc>
        <w:tc>
          <w:tcPr>
            <w:tcW w:w="3191" w:type="dxa"/>
          </w:tcPr>
          <w:p w:rsidR="00485400" w:rsidRDefault="00485400" w:rsidP="00485400">
            <w:pPr>
              <w:pStyle w:val="a3"/>
              <w:jc w:val="center"/>
            </w:pPr>
            <w:r>
              <w:t>Сроки участия</w:t>
            </w:r>
          </w:p>
          <w:p w:rsidR="00485400" w:rsidRPr="00485400" w:rsidRDefault="00485400" w:rsidP="00485400">
            <w:pPr>
              <w:pStyle w:val="a3"/>
              <w:jc w:val="center"/>
            </w:pPr>
            <w:r>
              <w:t>в ГИА-11</w:t>
            </w:r>
          </w:p>
        </w:tc>
      </w:tr>
      <w:tr w:rsidR="00485400" w:rsidTr="00176654">
        <w:trPr>
          <w:trHeight w:val="825"/>
        </w:trPr>
        <w:tc>
          <w:tcPr>
            <w:tcW w:w="3227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 xml:space="preserve">выпускники текущего года (обучающиеся школ и экстерны) подают </w:t>
            </w:r>
            <w:hyperlink r:id="rId5" w:history="1">
              <w:r>
                <w:rPr>
                  <w:rStyle w:val="a5"/>
                </w:rPr>
                <w:t>заявления на участие в ЕГЭ</w:t>
              </w:r>
            </w:hyperlink>
            <w:r>
              <w:t xml:space="preserve"> и </w:t>
            </w:r>
            <w:hyperlink r:id="rId6" w:history="1">
              <w:r>
                <w:rPr>
                  <w:rStyle w:val="a5"/>
                </w:rPr>
                <w:t>заявление на участие в ГВЭ-11</w:t>
              </w:r>
            </w:hyperlink>
          </w:p>
        </w:tc>
        <w:tc>
          <w:tcPr>
            <w:tcW w:w="3153" w:type="dxa"/>
            <w:vMerge w:val="restart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>в образовательных организациях, в которых проходят обучение; в образовательных организациях, в которых проходят обучение;</w:t>
            </w:r>
          </w:p>
        </w:tc>
        <w:tc>
          <w:tcPr>
            <w:tcW w:w="3191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>досрочный период (март-апрель), основной период (май-июль)</w:t>
            </w:r>
          </w:p>
        </w:tc>
      </w:tr>
      <w:tr w:rsidR="00485400" w:rsidTr="00176654">
        <w:trPr>
          <w:trHeight w:val="825"/>
        </w:trPr>
        <w:tc>
          <w:tcPr>
            <w:tcW w:w="3227" w:type="dxa"/>
          </w:tcPr>
          <w:p w:rsidR="00485400" w:rsidRDefault="00485400" w:rsidP="00485400">
            <w:pPr>
              <w:pStyle w:val="a3"/>
              <w:jc w:val="both"/>
            </w:pPr>
            <w:r>
              <w:t xml:space="preserve">обучающиеся СПО подают </w:t>
            </w:r>
            <w:hyperlink r:id="rId7" w:history="1">
              <w:r>
                <w:rPr>
                  <w:rStyle w:val="a5"/>
                </w:rPr>
                <w:t>заявления на участие в ЕГЭ</w:t>
              </w:r>
            </w:hyperlink>
          </w:p>
        </w:tc>
        <w:tc>
          <w:tcPr>
            <w:tcW w:w="3153" w:type="dxa"/>
            <w:vMerge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>досрочный период (март-апрель), основной период (май-июль)</w:t>
            </w:r>
          </w:p>
        </w:tc>
      </w:tr>
      <w:tr w:rsidR="00485400" w:rsidTr="00176654">
        <w:tc>
          <w:tcPr>
            <w:tcW w:w="3227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 xml:space="preserve">обучающиеся в иностранных образовательных организациях подают </w:t>
            </w:r>
            <w:hyperlink r:id="rId8" w:history="1">
              <w:r>
                <w:rPr>
                  <w:rStyle w:val="a5"/>
                </w:rPr>
                <w:t>заявления на участие в ЕГЭ</w:t>
              </w:r>
            </w:hyperlink>
          </w:p>
        </w:tc>
        <w:tc>
          <w:tcPr>
            <w:tcW w:w="3153" w:type="dxa"/>
            <w:vMerge w:val="restart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месту</w:t>
            </w:r>
            <w:proofErr w:type="gramEnd"/>
            <w:r>
              <w:t xml:space="preserve"> жительства  участника ЕГЭ </w:t>
            </w:r>
            <w:hyperlink r:id="rId9" w:tgtFrame="_blank" w:history="1">
              <w:r>
                <w:rPr>
                  <w:rStyle w:val="a5"/>
                </w:rPr>
                <w:t>(адреса и контактные телефоны МОУО)</w:t>
              </w:r>
            </w:hyperlink>
          </w:p>
        </w:tc>
        <w:tc>
          <w:tcPr>
            <w:tcW w:w="3191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>досрочный период (март-апрель), основной период (май-июль)</w:t>
            </w:r>
          </w:p>
        </w:tc>
      </w:tr>
      <w:tr w:rsidR="00485400" w:rsidTr="00176654">
        <w:tc>
          <w:tcPr>
            <w:tcW w:w="3227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 xml:space="preserve">выпускники прошлых лет подают </w:t>
            </w:r>
            <w:hyperlink r:id="rId10" w:history="1">
              <w:r>
                <w:rPr>
                  <w:rStyle w:val="a5"/>
                </w:rPr>
                <w:t>заявления на участие в ЕГЭ</w:t>
              </w:r>
            </w:hyperlink>
          </w:p>
        </w:tc>
        <w:tc>
          <w:tcPr>
            <w:tcW w:w="3153" w:type="dxa"/>
            <w:vMerge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485400" w:rsidRDefault="00485400" w:rsidP="00485400">
            <w:pPr>
              <w:pStyle w:val="a3"/>
              <w:jc w:val="both"/>
              <w:rPr>
                <w:b/>
                <w:bCs/>
              </w:rPr>
            </w:pPr>
            <w:r>
              <w:t>основной период (май-июль) резервные сроки</w:t>
            </w:r>
          </w:p>
        </w:tc>
      </w:tr>
    </w:tbl>
    <w:p w:rsidR="00485400" w:rsidRDefault="00485400" w:rsidP="00485400">
      <w:pPr>
        <w:pStyle w:val="a3"/>
        <w:jc w:val="both"/>
      </w:pPr>
      <w:r>
        <w:rPr>
          <w:b/>
          <w:bCs/>
        </w:rPr>
        <w:t xml:space="preserve">1. </w:t>
      </w:r>
      <w:r>
        <w:t xml:space="preserve">Подача заявлений на участие в ГИА-11 осуществляется </w:t>
      </w:r>
      <w:r>
        <w:rPr>
          <w:b/>
          <w:bCs/>
        </w:rPr>
        <w:t>до 01 февраля 2024 г. (включительно).</w:t>
      </w:r>
    </w:p>
    <w:p w:rsidR="00485400" w:rsidRDefault="00485400" w:rsidP="00485400">
      <w:pPr>
        <w:pStyle w:val="a3"/>
        <w:jc w:val="both"/>
      </w:pPr>
      <w:r>
        <w:rPr>
          <w:b/>
          <w:bCs/>
        </w:rPr>
        <w:t>Заявления на ЕГЭ и ГВЭ-11</w:t>
      </w:r>
      <w:r>
        <w:t xml:space="preserve"> подаются </w:t>
      </w:r>
      <w:r>
        <w:rPr>
          <w:b/>
          <w:bCs/>
        </w:rPr>
        <w:t xml:space="preserve">лично </w:t>
      </w:r>
      <w: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85400" w:rsidRDefault="00485400" w:rsidP="00485400">
      <w:pPr>
        <w:pStyle w:val="a3"/>
        <w:jc w:val="both"/>
      </w:pPr>
      <w:r>
        <w:rPr>
          <w:b/>
          <w:bCs/>
        </w:rPr>
        <w:t xml:space="preserve">2. Проведение ГИА-11 </w:t>
      </w:r>
      <w:r>
        <w:t>организуется в соответствии с</w:t>
      </w:r>
      <w:r>
        <w:rPr>
          <w:b/>
          <w:bCs/>
        </w:rPr>
        <w:t xml:space="preserve"> расписанием, утвержденным </w:t>
      </w:r>
      <w:proofErr w:type="spellStart"/>
      <w:r>
        <w:rPr>
          <w:b/>
          <w:bCs/>
        </w:rPr>
        <w:t>Рособрнадзором</w:t>
      </w:r>
      <w:proofErr w:type="spellEnd"/>
      <w:r>
        <w:rPr>
          <w:b/>
          <w:bCs/>
        </w:rPr>
        <w:t xml:space="preserve">, </w:t>
      </w:r>
      <w:r>
        <w:t>в пунктах проведения экзаменов (ППЭ).</w:t>
      </w:r>
    </w:p>
    <w:p w:rsidR="00485400" w:rsidRDefault="00485400" w:rsidP="00485400">
      <w:pPr>
        <w:pStyle w:val="a3"/>
        <w:jc w:val="both"/>
      </w:pPr>
      <w:r>
        <w:rPr>
          <w:b/>
          <w:bCs/>
        </w:rPr>
        <w:t>3. Официальное ознакомление с результатами ГИА-11: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85400" w:rsidTr="00485400">
        <w:tc>
          <w:tcPr>
            <w:tcW w:w="3190" w:type="dxa"/>
          </w:tcPr>
          <w:p w:rsidR="00485400" w:rsidRDefault="00485400">
            <w:r>
              <w:t>Категории участников ГИА-11</w:t>
            </w:r>
          </w:p>
        </w:tc>
        <w:tc>
          <w:tcPr>
            <w:tcW w:w="3190" w:type="dxa"/>
          </w:tcPr>
          <w:p w:rsidR="00485400" w:rsidRDefault="00485400">
            <w:r>
              <w:t>Места ознакомления</w:t>
            </w:r>
          </w:p>
        </w:tc>
        <w:tc>
          <w:tcPr>
            <w:tcW w:w="3191" w:type="dxa"/>
          </w:tcPr>
          <w:p w:rsidR="00485400" w:rsidRDefault="00485400">
            <w:r>
              <w:t>Сроки ознакомления</w:t>
            </w:r>
          </w:p>
        </w:tc>
      </w:tr>
      <w:tr w:rsidR="00485400" w:rsidTr="00485400">
        <w:tc>
          <w:tcPr>
            <w:tcW w:w="3190" w:type="dxa"/>
          </w:tcPr>
          <w:p w:rsidR="00485400" w:rsidRDefault="00485400">
            <w:r>
              <w:t>выпускники текущего года (обучающиеся школ и экстерны);</w:t>
            </w:r>
          </w:p>
        </w:tc>
        <w:tc>
          <w:tcPr>
            <w:tcW w:w="3190" w:type="dxa"/>
            <w:vMerge w:val="restart"/>
          </w:tcPr>
          <w:p w:rsidR="00485400" w:rsidRDefault="00485400">
            <w:r>
              <w:t>в образовательных организациях, в которых проходят обучение</w:t>
            </w:r>
          </w:p>
        </w:tc>
        <w:tc>
          <w:tcPr>
            <w:tcW w:w="3191" w:type="dxa"/>
            <w:vMerge w:val="restart"/>
          </w:tcPr>
          <w:p w:rsidR="00485400" w:rsidRDefault="00485400">
            <w:r>
              <w:t>не позднее 1 рабочего дня со дня утверждения результатов ГЭК Волгоградской области (согласно графику)</w:t>
            </w:r>
          </w:p>
        </w:tc>
      </w:tr>
      <w:tr w:rsidR="00485400" w:rsidTr="00485400">
        <w:tc>
          <w:tcPr>
            <w:tcW w:w="3190" w:type="dxa"/>
          </w:tcPr>
          <w:p w:rsidR="00485400" w:rsidRDefault="00485400">
            <w:r>
              <w:t>обучающиеся СПО</w:t>
            </w:r>
          </w:p>
        </w:tc>
        <w:tc>
          <w:tcPr>
            <w:tcW w:w="3190" w:type="dxa"/>
            <w:vMerge/>
          </w:tcPr>
          <w:p w:rsidR="00485400" w:rsidRDefault="00485400"/>
        </w:tc>
        <w:tc>
          <w:tcPr>
            <w:tcW w:w="3191" w:type="dxa"/>
            <w:vMerge/>
          </w:tcPr>
          <w:p w:rsidR="00485400" w:rsidRDefault="00485400"/>
        </w:tc>
      </w:tr>
      <w:tr w:rsidR="00485400" w:rsidTr="00485400">
        <w:tc>
          <w:tcPr>
            <w:tcW w:w="3190" w:type="dxa"/>
          </w:tcPr>
          <w:p w:rsidR="00485400" w:rsidRDefault="00485400">
            <w:proofErr w:type="gramStart"/>
            <w:r>
              <w:t>обучающиеся</w:t>
            </w:r>
            <w:proofErr w:type="gramEnd"/>
            <w:r>
              <w:t xml:space="preserve"> в иностранных образовательных организациях</w:t>
            </w:r>
          </w:p>
        </w:tc>
        <w:tc>
          <w:tcPr>
            <w:tcW w:w="3190" w:type="dxa"/>
            <w:vMerge w:val="restart"/>
          </w:tcPr>
          <w:p w:rsidR="00485400" w:rsidRDefault="00485400">
            <w:r>
              <w:t xml:space="preserve">по месту жительства  участника ЕГЭ </w:t>
            </w:r>
            <w:hyperlink r:id="rId11" w:tgtFrame="_blank" w:history="1">
              <w:r>
                <w:rPr>
                  <w:rStyle w:val="a5"/>
                </w:rPr>
                <w:t>(адреса и контактные телефоны МОУО)</w:t>
              </w:r>
            </w:hyperlink>
          </w:p>
        </w:tc>
        <w:tc>
          <w:tcPr>
            <w:tcW w:w="3191" w:type="dxa"/>
            <w:vMerge/>
          </w:tcPr>
          <w:p w:rsidR="00485400" w:rsidRDefault="00485400"/>
        </w:tc>
      </w:tr>
      <w:tr w:rsidR="00485400" w:rsidTr="00485400">
        <w:tc>
          <w:tcPr>
            <w:tcW w:w="3190" w:type="dxa"/>
          </w:tcPr>
          <w:p w:rsidR="00485400" w:rsidRDefault="00485400">
            <w:r>
              <w:t>выпускники прошлых лет подают</w:t>
            </w:r>
          </w:p>
        </w:tc>
        <w:tc>
          <w:tcPr>
            <w:tcW w:w="3190" w:type="dxa"/>
            <w:vMerge/>
          </w:tcPr>
          <w:p w:rsidR="00485400" w:rsidRDefault="00485400"/>
        </w:tc>
        <w:tc>
          <w:tcPr>
            <w:tcW w:w="3191" w:type="dxa"/>
            <w:vMerge/>
          </w:tcPr>
          <w:p w:rsidR="00485400" w:rsidRDefault="00485400"/>
        </w:tc>
      </w:tr>
    </w:tbl>
    <w:p w:rsidR="00485400" w:rsidRPr="00485400" w:rsidRDefault="00485400" w:rsidP="00485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результатами и изображениями бланков ГИА-11 можно ознакомиться на официальном портале </w:t>
      </w:r>
      <w:hyperlink r:id="rId12" w:history="1">
        <w:r w:rsidRPr="0048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http://check.ege.edu.ru/</w:t>
        </w:r>
      </w:hyperlink>
      <w:r w:rsidRPr="0048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(неофициальное ознакомление).</w:t>
      </w:r>
    </w:p>
    <w:p w:rsidR="00485400" w:rsidRPr="00485400" w:rsidRDefault="00485400" w:rsidP="00485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сроках, местах и порядке подачи и рассмотрения апелляций</w:t>
      </w:r>
    </w:p>
    <w:p w:rsidR="00485400" w:rsidRPr="00485400" w:rsidRDefault="00485400" w:rsidP="004854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Апелляцию о нарушении установленного Порядка проведения ГИА-11</w:t>
      </w:r>
      <w:r w:rsidRPr="0048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экзамена подаёт </w:t>
      </w:r>
      <w:r w:rsidRPr="0048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день проведения экзамена</w:t>
      </w:r>
      <w:r w:rsidRPr="0048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учебному предмету члену ГЭК, не покидая ППЭ. Апелляционная комиссия рассматривает апелляцию о нарушении Порядка проведения ГИА-11 в течение двух рабочих дней, следующих за днем ее поступления в апелляционную комиссию.</w:t>
      </w:r>
    </w:p>
    <w:p w:rsidR="00485400" w:rsidRPr="00485400" w:rsidRDefault="00485400" w:rsidP="004854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Апелляция о несогласии с выставленными баллами</w:t>
      </w:r>
      <w:r w:rsidRPr="0048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подаётся в течение </w:t>
      </w:r>
      <w:r w:rsidRPr="0048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рабочих дней,</w:t>
      </w:r>
      <w:r w:rsidRPr="0048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за официальным днем объявления результатов экзамена по соответствующему учебному предмету. Подача апелляции о несогласии с выставленными баллами осуществляется лично участником ГИА-11 или их родителями (законными представителями) в местах подачи заявления на участие в ГИА-11. 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485400" w:rsidRPr="00485400" w:rsidRDefault="00485400" w:rsidP="004854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ГИА-11 и неправильным заполнением бланков ЕГЭ и ГВЭ-11.</w:t>
      </w:r>
    </w:p>
    <w:p w:rsidR="00EE2492" w:rsidRDefault="00176654"/>
    <w:sectPr w:rsidR="00EE2492" w:rsidSect="0022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FEF"/>
    <w:multiLevelType w:val="multilevel"/>
    <w:tmpl w:val="D83A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00"/>
    <w:rsid w:val="00176654"/>
    <w:rsid w:val="00226460"/>
    <w:rsid w:val="0046358C"/>
    <w:rsid w:val="00485400"/>
    <w:rsid w:val="0072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5400"/>
    <w:rPr>
      <w:color w:val="0000FF"/>
      <w:u w:val="single"/>
    </w:rPr>
  </w:style>
  <w:style w:type="character" w:styleId="a6">
    <w:name w:val="Strong"/>
    <w:basedOn w:val="a0"/>
    <w:uiPriority w:val="22"/>
    <w:qFormat/>
    <w:rsid w:val="00485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apkro.ru/wp-content/uploads/2023/12/zayavlenie-na-ege-202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gapkro.ru/wp-content/uploads/2023/12/zayavlenie-na-ege-2024.doc" TargetMode="External"/><Relationship Id="rId12" Type="http://schemas.openxmlformats.org/officeDocument/2006/relationships/hyperlink" Target="http://check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gapkro.ru/wp-content/uploads/2023/12/zayavlenie-na-gve-11-2024.doc" TargetMode="External"/><Relationship Id="rId11" Type="http://schemas.openxmlformats.org/officeDocument/2006/relationships/hyperlink" Target="https://vgapkro.ru/wp-content/uploads/2023/11/adresa-i-kontaktnye-telefony-mouo.pdf" TargetMode="External"/><Relationship Id="rId5" Type="http://schemas.openxmlformats.org/officeDocument/2006/relationships/hyperlink" Target="https://vgapkro.ru/wp-content/uploads/2023/12/zayavlenie-na-ege-2024.doc" TargetMode="External"/><Relationship Id="rId10" Type="http://schemas.openxmlformats.org/officeDocument/2006/relationships/hyperlink" Target="https://vgapkro.ru/wp-content/uploads/2023/12/zayavlenie-na-ege-202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gapkro.ru/wp-content/uploads/2023/11/adresa-i-kontaktnye-telefony-mou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МППК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2024-01-12T10:56:00Z</dcterms:created>
  <dcterms:modified xsi:type="dcterms:W3CDTF">2024-01-12T11:08:00Z</dcterms:modified>
</cp:coreProperties>
</file>